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8D" w:rsidRPr="00F03BF4" w:rsidRDefault="0000498D" w:rsidP="0000498D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AR"/>
        </w:rPr>
      </w:pPr>
      <w:r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Tabla 1. </w:t>
      </w:r>
      <w:r w:rsidR="00BE32FA"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>Adjudicación</w:t>
      </w:r>
      <w:r w:rsidR="00DC102F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 anual</w:t>
      </w:r>
      <w:r w:rsidR="00BE32FA"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 del </w:t>
      </w:r>
      <w:r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>Fondo Nacional para el Enriquecimiento y la Conservación de los Bosques Nativos (FNECBN)</w:t>
      </w:r>
      <w:r w:rsidR="00BE32FA"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 respecto al presupuesto nacional</w:t>
      </w:r>
      <w:r w:rsidR="00DC102F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 (2010-2017)</w:t>
      </w:r>
      <w:r w:rsidR="00BE32FA"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>.</w:t>
      </w:r>
    </w:p>
    <w:tbl>
      <w:tblPr>
        <w:bidiVisual/>
        <w:tblW w:w="8130" w:type="dxa"/>
        <w:jc w:val="center"/>
        <w:tblInd w:w="7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680"/>
        <w:gridCol w:w="2268"/>
        <w:gridCol w:w="1489"/>
        <w:gridCol w:w="1134"/>
      </w:tblGrid>
      <w:tr w:rsidR="0000498D" w:rsidRPr="00F03BF4" w:rsidTr="00DC102F">
        <w:trPr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98D" w:rsidRPr="00F03BF4" w:rsidRDefault="0000498D" w:rsidP="00462C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Relación entre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el presupuesto asignado y el establecido por </w:t>
            </w:r>
            <w:r w:rsidR="00DC102F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la L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ey</w:t>
            </w:r>
            <w:r w:rsidR="00462C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(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[2]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462C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/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[1]</w:t>
            </w:r>
            <w:r w:rsidR="00462C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</w:t>
            </w:r>
            <w:r w:rsidR="0075069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(%)</w:t>
            </w:r>
            <w:r w:rsidR="00462C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0498D" w:rsidRPr="00F03BF4" w:rsidRDefault="0000498D" w:rsidP="00980233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Presupuesto asignado al Fondo (</w:t>
            </w:r>
            <w:r w:rsidR="00CC033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millones de </w:t>
            </w:r>
            <w:r w:rsidR="00E16A3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$</w:t>
            </w:r>
            <w:r w:rsidR="009F032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AR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)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A61BF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[2]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498D" w:rsidRPr="00F03BF4" w:rsidRDefault="0000498D" w:rsidP="00A61BF8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Monto correspondiente</w:t>
            </w:r>
            <w:r w:rsidR="00DC102F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al 0.3% del 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presupuesto nacional</w:t>
            </w:r>
            <w:r w:rsidR="00DC102F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establecido por la Ley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(</w:t>
            </w:r>
            <w:r w:rsidR="00CC033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millones de </w:t>
            </w:r>
            <w:r w:rsidR="00E16A3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$</w:t>
            </w:r>
            <w:r w:rsidR="009F032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AR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)</w:t>
            </w:r>
            <w:r w:rsidR="00A61BF8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A61BF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[1]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0498D" w:rsidRPr="00F03BF4" w:rsidRDefault="0000498D" w:rsidP="00A61BF8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Presupuesto nacional (millones de </w:t>
            </w:r>
            <w:r w:rsidR="00E16A38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$</w:t>
            </w:r>
            <w:r w:rsidR="009F032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AR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)</w:t>
            </w:r>
            <w:r w:rsidR="009F0326"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98D" w:rsidRPr="00F03BF4" w:rsidRDefault="0000498D" w:rsidP="001F56E6">
            <w:pPr>
              <w:spacing w:after="0" w:line="0" w:lineRule="atLeast"/>
              <w:ind w:left="60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Año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  <w:tcBorders>
              <w:top w:val="single" w:sz="4" w:space="0" w:color="auto"/>
            </w:tcBorders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36,5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821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273.751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2010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36,5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300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821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273.751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2011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17,8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271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1.520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506.576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2012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12,2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230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1.888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629.217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2013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8,92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230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2.579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859.543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2014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6,19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232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3.755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1.251.630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2015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5,24</w:t>
            </w:r>
          </w:p>
        </w:tc>
        <w:tc>
          <w:tcPr>
            <w:tcW w:w="1680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247</w:t>
            </w:r>
          </w:p>
        </w:tc>
        <w:tc>
          <w:tcPr>
            <w:tcW w:w="2268" w:type="dxa"/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4.708</w:t>
            </w:r>
          </w:p>
        </w:tc>
        <w:tc>
          <w:tcPr>
            <w:tcW w:w="1489" w:type="dxa"/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1.569.412</w:t>
            </w:r>
          </w:p>
        </w:tc>
        <w:tc>
          <w:tcPr>
            <w:tcW w:w="1134" w:type="dxa"/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2016</w:t>
            </w:r>
          </w:p>
        </w:tc>
      </w:tr>
      <w:tr w:rsidR="00CC0336" w:rsidRPr="00F03BF4" w:rsidTr="00DC102F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3,81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270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336" w:rsidRPr="00F03BF4" w:rsidRDefault="00CC0336" w:rsidP="00F03BF4">
            <w:pPr>
              <w:pStyle w:val="NormalWeb"/>
              <w:spacing w:before="0" w:beforeAutospacing="0" w:after="0" w:afterAutospacing="0" w:line="276" w:lineRule="auto"/>
              <w:ind w:left="58"/>
              <w:jc w:val="center"/>
              <w:rPr>
                <w:rFonts w:ascii="Palatino Linotype" w:hAnsi="Palatino Linotype" w:cs="Arial"/>
                <w:sz w:val="18"/>
                <w:szCs w:val="22"/>
              </w:rPr>
            </w:pPr>
            <w:r w:rsidRPr="00F03BF4">
              <w:rPr>
                <w:rFonts w:ascii="Palatino Linotype" w:hAnsi="Palatino Linotype"/>
                <w:color w:val="000000"/>
                <w:kern w:val="24"/>
                <w:sz w:val="18"/>
                <w:szCs w:val="22"/>
              </w:rPr>
              <w:t>7.091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CC0336" w:rsidRPr="00F03BF4" w:rsidRDefault="00CC0336" w:rsidP="00F03BF4">
            <w:pPr>
              <w:spacing w:after="0" w:line="0" w:lineRule="atLeast"/>
              <w:ind w:left="60"/>
              <w:jc w:val="center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2.363.620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0336" w:rsidRPr="00F03BF4" w:rsidRDefault="00CC0336" w:rsidP="001F56E6">
            <w:pPr>
              <w:spacing w:after="0" w:line="0" w:lineRule="atLeast"/>
              <w:ind w:left="60"/>
              <w:jc w:val="both"/>
              <w:rPr>
                <w:rFonts w:ascii="Palatino Linotype" w:eastAsia="Times New Roman" w:hAnsi="Palatino Linotype" w:cs="Times New Roman"/>
                <w:sz w:val="18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lang w:eastAsia="es-AR"/>
              </w:rPr>
              <w:t>2017</w:t>
            </w:r>
          </w:p>
        </w:tc>
      </w:tr>
    </w:tbl>
    <w:p w:rsidR="00DC102F" w:rsidRDefault="00F03BF4" w:rsidP="00DC10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AR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Fuente: E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laboración </w:t>
      </w:r>
      <w:r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en base a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 datos de los presupuestos nacionales</w:t>
      </w:r>
      <w:r w:rsidR="00DC102F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, </w:t>
      </w:r>
      <w:r w:rsidR="00DC102F" w:rsidRPr="000049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AR"/>
        </w:rPr>
        <w:t>siguiendo el esquema de AGN (2014)</w:t>
      </w:r>
    </w:p>
    <w:p w:rsidR="0000498D" w:rsidRPr="00F03BF4" w:rsidRDefault="00A61BF8" w:rsidP="00A61BF8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.</w:t>
      </w:r>
    </w:p>
    <w:p w:rsidR="0000498D" w:rsidRPr="00F03BF4" w:rsidRDefault="0000498D" w:rsidP="0000498D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</w:pPr>
    </w:p>
    <w:p w:rsidR="00C556FD" w:rsidRPr="00F03BF4" w:rsidRDefault="00C556FD" w:rsidP="0000498D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</w:pPr>
    </w:p>
    <w:p w:rsidR="0000498D" w:rsidRPr="00F03BF4" w:rsidRDefault="0000498D" w:rsidP="0000498D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AR"/>
        </w:rPr>
      </w:pP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Tabla 2. Monto </w:t>
      </w:r>
      <w:r w:rsidR="00DC10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>asignado</w:t>
      </w: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al </w:t>
      </w:r>
      <w:r w:rsidR="00DC102F" w:rsidRPr="00F03BF4">
        <w:rPr>
          <w:rFonts w:ascii="Palatino Linotype" w:eastAsia="Times New Roman" w:hAnsi="Palatino Linotype" w:cs="Times New Roman"/>
          <w:bCs/>
          <w:color w:val="000000"/>
          <w:lang w:eastAsia="es-AR"/>
        </w:rPr>
        <w:t xml:space="preserve">Fondo Nacional para el Enriquecimiento y la Conservación de los Bosques Nativos </w:t>
      </w:r>
      <w:r w:rsidR="00DC102F">
        <w:rPr>
          <w:rFonts w:ascii="Palatino Linotype" w:eastAsia="Times New Roman" w:hAnsi="Palatino Linotype" w:cs="Times New Roman"/>
          <w:bCs/>
          <w:color w:val="000000"/>
          <w:lang w:eastAsia="es-AR"/>
        </w:rPr>
        <w:t>(</w:t>
      </w: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>FNECBN</w:t>
      </w:r>
      <w:r w:rsidR="00DC10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>)</w:t>
      </w: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por el presupuesto nacional</w:t>
      </w:r>
      <w:r w:rsidR="006609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, </w:t>
      </w: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monto </w:t>
      </w:r>
      <w:r w:rsidR="00DC10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>efectivamente transferido</w:t>
      </w:r>
      <w:r w:rsid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a</w:t>
      </w:r>
      <w:r w:rsidRPr="00F03BF4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las provincias</w:t>
      </w:r>
      <w:r w:rsidR="006609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y superficie alcanzada por los planes</w:t>
      </w:r>
      <w:r w:rsidR="00DC10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 de conservación y manejo</w:t>
      </w:r>
      <w:r w:rsidR="0066092F">
        <w:rPr>
          <w:rFonts w:ascii="Palatino Linotype" w:eastAsia="Times New Roman" w:hAnsi="Palatino Linotype" w:cs="Times New Roman"/>
          <w:bCs/>
          <w:color w:val="000000"/>
          <w:sz w:val="20"/>
          <w:szCs w:val="20"/>
          <w:lang w:eastAsia="es-AR"/>
        </w:rPr>
        <w:t xml:space="preserve">. </w:t>
      </w:r>
    </w:p>
    <w:tbl>
      <w:tblPr>
        <w:bidiVisual/>
        <w:tblW w:w="5920" w:type="dxa"/>
        <w:jc w:val="center"/>
        <w:tblInd w:w="20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701"/>
        <w:gridCol w:w="1719"/>
        <w:gridCol w:w="1075"/>
      </w:tblGrid>
      <w:tr w:rsidR="00DC102F" w:rsidRPr="00F03BF4" w:rsidTr="00DC102F">
        <w:trPr>
          <w:jc w:val="center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Millones de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hectáreas alcanzadas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DC102F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Monto 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transferido a las provincias 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(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millones de 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$AR)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DC102F" w:rsidRPr="00F03BF4" w:rsidRDefault="00DC102F" w:rsidP="00DC102F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Monto asignado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  <w:t>al Fondo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br/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(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 xml:space="preserve">millones de 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$AR)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Año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  <w:tcBorders>
              <w:top w:val="single" w:sz="4" w:space="0" w:color="auto"/>
            </w:tcBorders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s/d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60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,2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94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2010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2,24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138,6</w:t>
            </w:r>
          </w:p>
        </w:tc>
        <w:tc>
          <w:tcPr>
            <w:tcW w:w="1719" w:type="dxa"/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230,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0</w:t>
            </w:r>
          </w:p>
        </w:tc>
        <w:tc>
          <w:tcPr>
            <w:tcW w:w="10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2011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2,91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168,2</w:t>
            </w:r>
          </w:p>
        </w:tc>
        <w:tc>
          <w:tcPr>
            <w:tcW w:w="1719" w:type="dxa"/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245,5</w:t>
            </w:r>
          </w:p>
        </w:tc>
        <w:tc>
          <w:tcPr>
            <w:tcW w:w="10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2012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2,65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151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8</w:t>
            </w:r>
          </w:p>
        </w:tc>
        <w:tc>
          <w:tcPr>
            <w:tcW w:w="1719" w:type="dxa"/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218,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7</w:t>
            </w:r>
          </w:p>
        </w:tc>
        <w:tc>
          <w:tcPr>
            <w:tcW w:w="10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2013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2,51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163,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0</w:t>
            </w:r>
          </w:p>
        </w:tc>
        <w:tc>
          <w:tcPr>
            <w:tcW w:w="1719" w:type="dxa"/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222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0</w:t>
            </w:r>
          </w:p>
        </w:tc>
        <w:tc>
          <w:tcPr>
            <w:tcW w:w="10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2014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2,96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158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6</w:t>
            </w:r>
          </w:p>
        </w:tc>
        <w:tc>
          <w:tcPr>
            <w:tcW w:w="1719" w:type="dxa"/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228,</w:t>
            </w: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4</w:t>
            </w:r>
          </w:p>
        </w:tc>
        <w:tc>
          <w:tcPr>
            <w:tcW w:w="10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2015</w:t>
            </w:r>
          </w:p>
        </w:tc>
      </w:tr>
      <w:tr w:rsidR="00DC102F" w:rsidRPr="00F03BF4" w:rsidTr="00DC102F">
        <w:trPr>
          <w:jc w:val="center"/>
        </w:trPr>
        <w:tc>
          <w:tcPr>
            <w:tcW w:w="1425" w:type="dxa"/>
            <w:tcBorders>
              <w:bottom w:val="single" w:sz="4" w:space="0" w:color="auto"/>
            </w:tcBorders>
          </w:tcPr>
          <w:p w:rsidR="00DC102F" w:rsidRPr="00F03BF4" w:rsidRDefault="00DC102F" w:rsidP="00235157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s/d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2F" w:rsidRPr="00F03BF4" w:rsidRDefault="00DC102F" w:rsidP="00F03BF4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s/d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DC102F" w:rsidRPr="00F03BF4" w:rsidRDefault="00DC102F" w:rsidP="00BC4AE1">
            <w:pPr>
              <w:spacing w:after="0" w:line="0" w:lineRule="atLeast"/>
              <w:jc w:val="center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246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,6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02F" w:rsidRPr="00F03BF4" w:rsidRDefault="00DC102F" w:rsidP="0000498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18"/>
                <w:szCs w:val="24"/>
                <w:lang w:eastAsia="es-AR"/>
              </w:rPr>
            </w:pPr>
            <w:r w:rsidRPr="00F03BF4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s-AR"/>
              </w:rPr>
              <w:t>2016</w:t>
            </w:r>
          </w:p>
        </w:tc>
      </w:tr>
    </w:tbl>
    <w:p w:rsidR="0000498D" w:rsidRPr="00F03BF4" w:rsidRDefault="002D4E9C" w:rsidP="002D4E9C">
      <w:pPr>
        <w:tabs>
          <w:tab w:val="center" w:pos="4419"/>
          <w:tab w:val="right" w:pos="8838"/>
        </w:tabs>
        <w:spacing w:before="120" w:after="120" w:line="240" w:lineRule="auto"/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shd w:val="clear" w:color="auto" w:fill="FFFF00"/>
          <w:lang w:eastAsia="es-AR"/>
        </w:rPr>
      </w:pPr>
      <w:r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ab/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Fuente: </w:t>
      </w:r>
      <w:r w:rsid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E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laboración </w:t>
      </w:r>
      <w:r w:rsid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en base a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 datos de</w:t>
      </w:r>
      <w:r w:rsidR="00A61BF8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l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 M</w:t>
      </w:r>
      <w:r w:rsidR="00A61BF8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inisterio de 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A</w:t>
      </w:r>
      <w:r w:rsidR="00926AD5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mbiente</w:t>
      </w:r>
      <w:r w:rsidR="00A61BF8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 y 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D</w:t>
      </w:r>
      <w:r w:rsidR="00A61BF8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esarrollo 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S</w:t>
      </w:r>
      <w:r w:rsidR="00A61BF8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ustentable</w:t>
      </w:r>
      <w:r w:rsidR="0000498D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 xml:space="preserve"> (2016</w:t>
      </w:r>
      <w:r w:rsidR="00444977"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>)</w:t>
      </w:r>
      <w:r w:rsidRPr="00F03BF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es-AR"/>
        </w:rPr>
        <w:tab/>
      </w:r>
    </w:p>
    <w:p w:rsidR="005914AA" w:rsidRPr="00F03BF4" w:rsidRDefault="00F45C1C" w:rsidP="0000498D">
      <w:pPr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shd w:val="clear" w:color="auto" w:fill="FFFF00"/>
          <w:lang w:eastAsia="es-AR"/>
        </w:rPr>
      </w:pPr>
    </w:p>
    <w:sectPr w:rsidR="005914AA" w:rsidRPr="00F03BF4" w:rsidSect="00A76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0498D"/>
    <w:rsid w:val="000004D1"/>
    <w:rsid w:val="0000498D"/>
    <w:rsid w:val="001E2E09"/>
    <w:rsid w:val="00214B9B"/>
    <w:rsid w:val="002309DF"/>
    <w:rsid w:val="002D4E9C"/>
    <w:rsid w:val="002E01E5"/>
    <w:rsid w:val="003E393A"/>
    <w:rsid w:val="003F301F"/>
    <w:rsid w:val="00444977"/>
    <w:rsid w:val="0045028A"/>
    <w:rsid w:val="00462CF4"/>
    <w:rsid w:val="00543761"/>
    <w:rsid w:val="005E7CAC"/>
    <w:rsid w:val="0066092F"/>
    <w:rsid w:val="00750698"/>
    <w:rsid w:val="007E4D77"/>
    <w:rsid w:val="00926AD5"/>
    <w:rsid w:val="00980233"/>
    <w:rsid w:val="009F0326"/>
    <w:rsid w:val="00A067E2"/>
    <w:rsid w:val="00A61BF8"/>
    <w:rsid w:val="00A763A3"/>
    <w:rsid w:val="00B04911"/>
    <w:rsid w:val="00BE32FA"/>
    <w:rsid w:val="00C556FD"/>
    <w:rsid w:val="00CC0336"/>
    <w:rsid w:val="00CE5F97"/>
    <w:rsid w:val="00D060C5"/>
    <w:rsid w:val="00D62D13"/>
    <w:rsid w:val="00DC102F"/>
    <w:rsid w:val="00DE2EA7"/>
    <w:rsid w:val="00E00798"/>
    <w:rsid w:val="00E109C0"/>
    <w:rsid w:val="00E16A38"/>
    <w:rsid w:val="00F03BF4"/>
    <w:rsid w:val="00F45C1C"/>
    <w:rsid w:val="00F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F6F1-9F73-49BE-B56A-99D73ED3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</dc:creator>
  <cp:lastModifiedBy>vallejos</cp:lastModifiedBy>
  <cp:revision>8</cp:revision>
  <dcterms:created xsi:type="dcterms:W3CDTF">2017-11-06T16:04:00Z</dcterms:created>
  <dcterms:modified xsi:type="dcterms:W3CDTF">2017-11-06T18:58:00Z</dcterms:modified>
</cp:coreProperties>
</file>