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22" w:rsidRPr="00E53FEA" w:rsidRDefault="00257F22" w:rsidP="00257F22">
      <w:pPr>
        <w:spacing w:before="57" w:after="57"/>
        <w:rPr>
          <w:rFonts w:ascii="Palatino Linotype" w:hAnsi="Palatino Linotype"/>
        </w:rPr>
      </w:pPr>
      <w:r w:rsidRPr="00E53FEA">
        <w:rPr>
          <w:rFonts w:ascii="Palatino Linotype" w:hAnsi="Palatino Linotype"/>
          <w:b/>
          <w:bCs/>
          <w:color w:val="auto"/>
          <w:sz w:val="20"/>
          <w:szCs w:val="20"/>
        </w:rPr>
        <w:t>Tabla 1.</w:t>
      </w:r>
      <w:r w:rsidRPr="00E53FEA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E53FEA">
        <w:rPr>
          <w:rFonts w:ascii="Palatino Linotype" w:hAnsi="Palatino Linotype"/>
          <w:color w:val="00000A"/>
          <w:sz w:val="20"/>
          <w:szCs w:val="20"/>
        </w:rPr>
        <w:t>Ambigüedad léxica en los términos “error” y “sesgo” según el contexto que se atraviesa en la resolución de problemas utilizando la estadística: muestreo, medición, estimación, inferencia y predicción.</w:t>
      </w:r>
    </w:p>
    <w:p w:rsidR="00257F22" w:rsidRPr="00E53FEA" w:rsidRDefault="00257F22" w:rsidP="00257F22">
      <w:pPr>
        <w:spacing w:before="57" w:after="57"/>
        <w:rPr>
          <w:rFonts w:ascii="Palatino Linotype" w:hAnsi="Palatino Linotype"/>
          <w:color w:val="auto"/>
          <w:sz w:val="20"/>
          <w:szCs w:val="20"/>
        </w:rPr>
      </w:pPr>
      <w:r w:rsidRPr="00E53FEA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:rsidR="003E6F2B" w:rsidRDefault="00257F22" w:rsidP="003E6F2B">
      <w:pPr>
        <w:spacing w:before="57" w:after="57"/>
        <w:rPr>
          <w:rFonts w:ascii="Palatino Linotype" w:hAnsi="Palatino Linotype"/>
          <w:color w:val="auto"/>
          <w:sz w:val="20"/>
          <w:szCs w:val="20"/>
          <w:lang w:val="en-US"/>
        </w:rPr>
      </w:pPr>
      <w:r w:rsidRPr="00E53FEA">
        <w:rPr>
          <w:rFonts w:ascii="Palatino Linotype" w:hAnsi="Palatino Linotype"/>
          <w:b/>
          <w:bCs/>
          <w:color w:val="auto"/>
          <w:sz w:val="20"/>
          <w:szCs w:val="20"/>
          <w:lang w:val="en-US"/>
        </w:rPr>
        <w:t>Table 1.</w:t>
      </w:r>
      <w:r w:rsidRPr="00E53FEA">
        <w:rPr>
          <w:rFonts w:ascii="Palatino Linotype" w:hAnsi="Palatino Linotype"/>
          <w:color w:val="auto"/>
          <w:sz w:val="20"/>
          <w:szCs w:val="20"/>
          <w:lang w:val="en-US"/>
        </w:rPr>
        <w:t xml:space="preserve"> Lexical ambiguity in the terms “error” and “bias” according to the context involving problems resolution using statistics: sampling, measurement, estimation, inference and prediction.  </w:t>
      </w:r>
    </w:p>
    <w:p w:rsidR="003E6F2B" w:rsidRDefault="003E6F2B" w:rsidP="003E6F2B">
      <w:pPr>
        <w:spacing w:before="57" w:after="57"/>
        <w:rPr>
          <w:rFonts w:ascii="Palatino Linotype" w:hAnsi="Palatino Linotype"/>
          <w:color w:val="auto"/>
          <w:sz w:val="20"/>
          <w:szCs w:val="20"/>
          <w:lang w:val="en-US"/>
        </w:rPr>
      </w:pPr>
    </w:p>
    <w:p w:rsidR="003E6F2B" w:rsidRPr="00CC2253" w:rsidRDefault="003E6F2B" w:rsidP="003E6F2B">
      <w:pPr>
        <w:spacing w:before="57" w:after="57"/>
        <w:rPr>
          <w:rFonts w:ascii="Palatino Linotype" w:hAnsi="Palatino Linotype"/>
          <w:color w:val="auto"/>
          <w:sz w:val="20"/>
          <w:szCs w:val="20"/>
          <w:lang w:val="en-US"/>
        </w:rPr>
      </w:pPr>
    </w:p>
    <w:p w:rsidR="003E6F2B" w:rsidRPr="00CC2253" w:rsidRDefault="003E6F2B" w:rsidP="003E6F2B">
      <w:pPr>
        <w:spacing w:before="57" w:after="57"/>
        <w:rPr>
          <w:rFonts w:ascii="Palatino Linotype" w:hAnsi="Palatino Linotype"/>
          <w:color w:val="auto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3E6F2B" w:rsidRPr="00CC2253" w:rsidTr="006B760F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E6F2B" w:rsidRPr="00CC2253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:rsidR="003E6F2B" w:rsidRPr="00CC2253" w:rsidRDefault="003E6F2B" w:rsidP="006B760F">
            <w:pPr>
              <w:spacing w:before="57" w:after="57"/>
              <w:jc w:val="center"/>
              <w:rPr>
                <w:rFonts w:ascii="Palatino Linotype" w:hAnsi="Palatino Linotype"/>
                <w:b/>
                <w:color w:val="auto"/>
                <w:sz w:val="16"/>
                <w:szCs w:val="16"/>
                <w:lang w:val="en-US"/>
              </w:rPr>
            </w:pPr>
            <w:r w:rsidRPr="00CC2253">
              <w:rPr>
                <w:rFonts w:ascii="Palatino Linotype" w:hAnsi="Palatino Linotype"/>
                <w:b/>
                <w:color w:val="auto"/>
                <w:sz w:val="16"/>
                <w:szCs w:val="16"/>
                <w:lang w:val="en-US"/>
              </w:rPr>
              <w:t>Error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:rsidR="003E6F2B" w:rsidRPr="00CC2253" w:rsidRDefault="003E6F2B" w:rsidP="006B760F">
            <w:pPr>
              <w:spacing w:before="57" w:after="57"/>
              <w:jc w:val="center"/>
              <w:rPr>
                <w:rFonts w:ascii="Palatino Linotype" w:hAnsi="Palatino Linotype"/>
                <w:b/>
                <w:color w:val="auto"/>
                <w:sz w:val="16"/>
                <w:szCs w:val="16"/>
                <w:lang w:val="en-US"/>
              </w:rPr>
            </w:pPr>
            <w:r w:rsidRPr="00CC2253">
              <w:rPr>
                <w:rFonts w:ascii="Palatino Linotype" w:hAnsi="Palatino Linotype"/>
                <w:b/>
                <w:color w:val="auto"/>
                <w:sz w:val="16"/>
                <w:szCs w:val="16"/>
                <w:lang w:val="en-US"/>
              </w:rPr>
              <w:t>Sesgo</w:t>
            </w:r>
          </w:p>
        </w:tc>
      </w:tr>
      <w:tr w:rsidR="003E6F2B" w:rsidRPr="00CC2253" w:rsidTr="006B760F">
        <w:trPr>
          <w:trHeight w:val="340"/>
        </w:trPr>
        <w:tc>
          <w:tcPr>
            <w:tcW w:w="1696" w:type="dxa"/>
            <w:tcBorders>
              <w:bottom w:val="nil"/>
            </w:tcBorders>
            <w:vAlign w:val="center"/>
          </w:tcPr>
          <w:p w:rsidR="003E6F2B" w:rsidRPr="00CC2253" w:rsidRDefault="003E6F2B" w:rsidP="006B760F">
            <w:pPr>
              <w:spacing w:before="57" w:after="57"/>
              <w:jc w:val="center"/>
              <w:rPr>
                <w:rFonts w:ascii="Palatino Linotype" w:hAnsi="Palatino Linotype"/>
                <w:b/>
                <w:color w:val="auto"/>
                <w:sz w:val="16"/>
                <w:szCs w:val="16"/>
                <w:lang w:val="en-US"/>
              </w:rPr>
            </w:pPr>
            <w:r w:rsidRPr="00CC2253">
              <w:rPr>
                <w:rFonts w:ascii="Palatino Linotype" w:hAnsi="Palatino Linotype"/>
                <w:b/>
                <w:color w:val="auto"/>
                <w:sz w:val="16"/>
                <w:szCs w:val="16"/>
                <w:lang w:val="en-US"/>
              </w:rPr>
              <w:t>Muestreo</w:t>
            </w:r>
          </w:p>
        </w:tc>
        <w:tc>
          <w:tcPr>
            <w:tcW w:w="3683" w:type="dxa"/>
            <w:tcBorders>
              <w:bottom w:val="nil"/>
            </w:tcBorders>
            <w:vAlign w:val="center"/>
          </w:tcPr>
          <w:p w:rsidR="003E6F2B" w:rsidRPr="00CC2253" w:rsidRDefault="003E6F2B" w:rsidP="006B760F">
            <w:pPr>
              <w:spacing w:before="57" w:after="57"/>
              <w:jc w:val="center"/>
              <w:rPr>
                <w:rFonts w:ascii="Palatino Linotype" w:hAnsi="Palatino Linotype"/>
                <w:color w:val="auto"/>
                <w:lang w:val="en-US"/>
              </w:rPr>
            </w:pPr>
            <w:r w:rsidRPr="00CC2253">
              <w:rPr>
                <w:rFonts w:ascii="Palatino Linotype" w:hAnsi="Palatino Linotype"/>
                <w:color w:val="auto"/>
                <w:lang w:val="en-US"/>
              </w:rPr>
              <w:t>-</w:t>
            </w:r>
          </w:p>
        </w:tc>
        <w:tc>
          <w:tcPr>
            <w:tcW w:w="3683" w:type="dxa"/>
            <w:tcBorders>
              <w:bottom w:val="nil"/>
            </w:tcBorders>
            <w:vAlign w:val="center"/>
          </w:tcPr>
          <w:p w:rsidR="003E6F2B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</w:pPr>
          </w:p>
          <w:p w:rsidR="003E6F2B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</w:pPr>
            <w:r w:rsidRPr="00CC2253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La tendencia a seleccionar ciertas unidades experimentales por sobre otras se denomina </w:t>
            </w:r>
            <w:r w:rsidRPr="00CC2253">
              <w:rPr>
                <w:rFonts w:ascii="Palatino Linotype" w:hAnsi="Palatino Linotype"/>
                <w:i/>
                <w:color w:val="auto"/>
                <w:sz w:val="16"/>
                <w:szCs w:val="16"/>
                <w:lang w:val="es-AR"/>
              </w:rPr>
              <w:t>sesgo de muestreo</w:t>
            </w:r>
            <w:r w:rsidRPr="00CC2253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. </w:t>
            </w:r>
          </w:p>
          <w:p w:rsidR="003E6F2B" w:rsidRPr="00CC2253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</w:pPr>
          </w:p>
        </w:tc>
      </w:tr>
      <w:tr w:rsidR="003E6F2B" w:rsidRPr="00CC2253" w:rsidTr="006B760F">
        <w:trPr>
          <w:trHeight w:val="340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3E6F2B" w:rsidRPr="00CC2253" w:rsidRDefault="003E6F2B" w:rsidP="006B760F">
            <w:pPr>
              <w:spacing w:before="57" w:after="57"/>
              <w:jc w:val="center"/>
              <w:rPr>
                <w:rFonts w:ascii="Palatino Linotype" w:hAnsi="Palatino Linotype"/>
                <w:b/>
                <w:color w:val="auto"/>
                <w:sz w:val="16"/>
                <w:szCs w:val="16"/>
                <w:lang w:val="en-US"/>
              </w:rPr>
            </w:pPr>
            <w:r w:rsidRPr="00CC2253">
              <w:rPr>
                <w:rFonts w:ascii="Palatino Linotype" w:hAnsi="Palatino Linotype"/>
                <w:b/>
                <w:color w:val="auto"/>
                <w:sz w:val="16"/>
                <w:szCs w:val="16"/>
                <w:lang w:val="en-US"/>
              </w:rPr>
              <w:t>Medición</w:t>
            </w:r>
          </w:p>
        </w:tc>
        <w:tc>
          <w:tcPr>
            <w:tcW w:w="3683" w:type="dxa"/>
            <w:tcBorders>
              <w:top w:val="nil"/>
              <w:bottom w:val="nil"/>
            </w:tcBorders>
            <w:vAlign w:val="center"/>
          </w:tcPr>
          <w:p w:rsidR="003E6F2B" w:rsidRPr="003E6F2B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</w:pPr>
            <w:r w:rsidRPr="003E6F2B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La diferencia entre el valor medido en una unidad experimental y el real se denomina </w:t>
            </w:r>
            <w:r w:rsidRPr="003E6F2B">
              <w:rPr>
                <w:rFonts w:ascii="Palatino Linotype" w:hAnsi="Palatino Linotype"/>
                <w:i/>
                <w:color w:val="auto"/>
                <w:sz w:val="16"/>
                <w:szCs w:val="16"/>
                <w:lang w:val="es-AR"/>
              </w:rPr>
              <w:t>error de medición</w:t>
            </w:r>
            <w:r w:rsidRPr="003E6F2B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.  </w:t>
            </w:r>
          </w:p>
        </w:tc>
        <w:tc>
          <w:tcPr>
            <w:tcW w:w="3683" w:type="dxa"/>
            <w:tcBorders>
              <w:top w:val="nil"/>
              <w:bottom w:val="nil"/>
            </w:tcBorders>
            <w:vAlign w:val="center"/>
          </w:tcPr>
          <w:p w:rsidR="003E6F2B" w:rsidRPr="00CC2253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</w:pPr>
            <w:r w:rsidRPr="00CC2253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Cuando las mediciones son acompañadas de un error sistemático ocurre </w:t>
            </w:r>
            <w:r w:rsidRPr="00CC2253">
              <w:rPr>
                <w:rFonts w:ascii="Palatino Linotype" w:hAnsi="Palatino Linotype"/>
                <w:i/>
                <w:color w:val="auto"/>
                <w:sz w:val="16"/>
                <w:szCs w:val="16"/>
                <w:lang w:val="es-AR"/>
              </w:rPr>
              <w:t>sesgo de medición</w:t>
            </w:r>
            <w:r w:rsidRPr="00CC2253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>.</w:t>
            </w:r>
          </w:p>
        </w:tc>
      </w:tr>
      <w:tr w:rsidR="003E6F2B" w:rsidRPr="00CC2253" w:rsidTr="006B760F">
        <w:trPr>
          <w:trHeight w:val="340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3E6F2B" w:rsidRDefault="003E6F2B" w:rsidP="006B760F">
            <w:pPr>
              <w:spacing w:before="57" w:after="57"/>
              <w:jc w:val="center"/>
              <w:rPr>
                <w:rFonts w:ascii="Palatino Linotype" w:hAnsi="Palatino Linotype"/>
                <w:b/>
                <w:color w:val="auto"/>
                <w:sz w:val="16"/>
                <w:szCs w:val="16"/>
                <w:lang w:val="es-AR"/>
              </w:rPr>
            </w:pPr>
          </w:p>
          <w:p w:rsidR="003E6F2B" w:rsidRPr="00CC2253" w:rsidRDefault="003E6F2B" w:rsidP="006B760F">
            <w:pPr>
              <w:spacing w:before="57" w:after="57"/>
              <w:jc w:val="center"/>
              <w:rPr>
                <w:rFonts w:ascii="Palatino Linotype" w:hAnsi="Palatino Linotype"/>
                <w:b/>
                <w:color w:val="auto"/>
                <w:sz w:val="16"/>
                <w:szCs w:val="16"/>
                <w:lang w:val="es-AR"/>
              </w:rPr>
            </w:pPr>
            <w:r w:rsidRPr="00CC2253">
              <w:rPr>
                <w:rFonts w:ascii="Palatino Linotype" w:hAnsi="Palatino Linotype"/>
                <w:b/>
                <w:color w:val="auto"/>
                <w:sz w:val="16"/>
                <w:szCs w:val="16"/>
                <w:lang w:val="es-AR"/>
              </w:rPr>
              <w:t>Estimación</w:t>
            </w:r>
          </w:p>
        </w:tc>
        <w:tc>
          <w:tcPr>
            <w:tcW w:w="3683" w:type="dxa"/>
            <w:tcBorders>
              <w:top w:val="nil"/>
              <w:bottom w:val="nil"/>
            </w:tcBorders>
            <w:vAlign w:val="center"/>
          </w:tcPr>
          <w:p w:rsidR="003E6F2B" w:rsidRPr="003E6F2B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</w:pPr>
          </w:p>
          <w:p w:rsidR="003E6F2B" w:rsidRPr="003E6F2B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</w:pPr>
            <w:r w:rsidRPr="003E6F2B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La diferencia entre el valor del estadístico obtenido en la muestra y del parámetro poblacional se denomina </w:t>
            </w:r>
            <w:r w:rsidRPr="003E6F2B">
              <w:rPr>
                <w:rFonts w:ascii="Palatino Linotype" w:hAnsi="Palatino Linotype"/>
                <w:i/>
                <w:color w:val="auto"/>
                <w:sz w:val="16"/>
                <w:szCs w:val="16"/>
                <w:lang w:val="es-AR"/>
              </w:rPr>
              <w:t>error de muestreo</w:t>
            </w:r>
            <w:r w:rsidRPr="003E6F2B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>.</w:t>
            </w:r>
          </w:p>
        </w:tc>
        <w:tc>
          <w:tcPr>
            <w:tcW w:w="3683" w:type="dxa"/>
            <w:tcBorders>
              <w:top w:val="nil"/>
              <w:bottom w:val="nil"/>
            </w:tcBorders>
            <w:vAlign w:val="center"/>
          </w:tcPr>
          <w:p w:rsidR="003E6F2B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</w:pPr>
          </w:p>
          <w:p w:rsidR="003E6F2B" w:rsidRPr="00CC2253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</w:pPr>
            <w:r w:rsidRPr="00CC2253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Cuando el valor esperado del estimador difiere del parámetro que estima entonces hay </w:t>
            </w:r>
            <w:r w:rsidRPr="00CC2253">
              <w:rPr>
                <w:rFonts w:ascii="Palatino Linotype" w:hAnsi="Palatino Linotype"/>
                <w:i/>
                <w:color w:val="auto"/>
                <w:sz w:val="16"/>
                <w:szCs w:val="16"/>
                <w:lang w:val="es-AR"/>
              </w:rPr>
              <w:t>sesgo del estimador</w:t>
            </w:r>
            <w:r w:rsidRPr="00CC2253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>.</w:t>
            </w:r>
          </w:p>
        </w:tc>
      </w:tr>
      <w:tr w:rsidR="003E6F2B" w:rsidRPr="00CC2253" w:rsidTr="006B760F">
        <w:trPr>
          <w:trHeight w:val="340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3E6F2B" w:rsidRPr="00CC2253" w:rsidRDefault="003E6F2B" w:rsidP="006B760F">
            <w:pPr>
              <w:spacing w:before="57" w:after="57"/>
              <w:jc w:val="center"/>
              <w:rPr>
                <w:rFonts w:ascii="Palatino Linotype" w:hAnsi="Palatino Linotype"/>
                <w:b/>
                <w:color w:val="auto"/>
                <w:sz w:val="16"/>
                <w:szCs w:val="16"/>
                <w:lang w:val="en-US"/>
              </w:rPr>
            </w:pPr>
            <w:r w:rsidRPr="00CC2253">
              <w:rPr>
                <w:rFonts w:ascii="Palatino Linotype" w:hAnsi="Palatino Linotype"/>
                <w:b/>
                <w:color w:val="auto"/>
                <w:sz w:val="16"/>
                <w:szCs w:val="16"/>
                <w:lang w:val="en-US"/>
              </w:rPr>
              <w:t>Inferencia</w:t>
            </w:r>
          </w:p>
        </w:tc>
        <w:tc>
          <w:tcPr>
            <w:tcW w:w="3683" w:type="dxa"/>
            <w:tcBorders>
              <w:top w:val="nil"/>
              <w:bottom w:val="nil"/>
            </w:tcBorders>
            <w:vAlign w:val="center"/>
          </w:tcPr>
          <w:p w:rsidR="003E6F2B" w:rsidRPr="003E6F2B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</w:pPr>
          </w:p>
          <w:p w:rsidR="003E6F2B" w:rsidRPr="003E6F2B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</w:pPr>
            <w:r w:rsidRPr="003E6F2B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En el contraste de hipótesis, si se rechaza una hipótesis nula verdadera se comete un </w:t>
            </w:r>
            <w:r w:rsidRPr="003E6F2B">
              <w:rPr>
                <w:rFonts w:ascii="Palatino Linotype" w:hAnsi="Palatino Linotype"/>
                <w:i/>
                <w:color w:val="auto"/>
                <w:sz w:val="16"/>
                <w:szCs w:val="16"/>
                <w:lang w:val="es-AR"/>
              </w:rPr>
              <w:t>error de tipo I</w:t>
            </w:r>
            <w:r w:rsidRPr="003E6F2B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. Si no se rechaza una hipótesis nula falsa se comete un </w:t>
            </w:r>
            <w:r w:rsidRPr="003E6F2B">
              <w:rPr>
                <w:rFonts w:ascii="Palatino Linotype" w:hAnsi="Palatino Linotype"/>
                <w:i/>
                <w:color w:val="auto"/>
                <w:sz w:val="16"/>
                <w:szCs w:val="16"/>
                <w:lang w:val="es-AR"/>
              </w:rPr>
              <w:t>error de tipo II</w:t>
            </w:r>
            <w:r w:rsidRPr="003E6F2B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.  </w:t>
            </w:r>
          </w:p>
        </w:tc>
        <w:tc>
          <w:tcPr>
            <w:tcW w:w="3683" w:type="dxa"/>
            <w:tcBorders>
              <w:top w:val="nil"/>
              <w:bottom w:val="nil"/>
            </w:tcBorders>
            <w:vAlign w:val="center"/>
          </w:tcPr>
          <w:p w:rsidR="003E6F2B" w:rsidRPr="00CC2253" w:rsidRDefault="003E6F2B" w:rsidP="006B760F">
            <w:pPr>
              <w:spacing w:before="57" w:after="57"/>
              <w:jc w:val="center"/>
              <w:rPr>
                <w:rFonts w:ascii="Palatino Linotype" w:hAnsi="Palatino Linotype"/>
                <w:color w:val="auto"/>
                <w:lang w:val="en-US"/>
              </w:rPr>
            </w:pPr>
            <w:r w:rsidRPr="00CC2253">
              <w:rPr>
                <w:rFonts w:ascii="Palatino Linotype" w:hAnsi="Palatino Linotype"/>
                <w:color w:val="auto"/>
                <w:lang w:val="en-US"/>
              </w:rPr>
              <w:t>-</w:t>
            </w:r>
          </w:p>
        </w:tc>
      </w:tr>
      <w:tr w:rsidR="003E6F2B" w:rsidRPr="00CC2253" w:rsidTr="006B760F">
        <w:trPr>
          <w:trHeight w:val="340"/>
        </w:trPr>
        <w:tc>
          <w:tcPr>
            <w:tcW w:w="1696" w:type="dxa"/>
            <w:tcBorders>
              <w:top w:val="nil"/>
            </w:tcBorders>
            <w:vAlign w:val="center"/>
          </w:tcPr>
          <w:p w:rsidR="003E6F2B" w:rsidRPr="00CC2253" w:rsidRDefault="003E6F2B" w:rsidP="006B760F">
            <w:pPr>
              <w:spacing w:before="57" w:after="57"/>
              <w:jc w:val="center"/>
              <w:rPr>
                <w:rFonts w:ascii="Palatino Linotype" w:hAnsi="Palatino Linotype"/>
                <w:b/>
                <w:color w:val="auto"/>
                <w:sz w:val="16"/>
                <w:szCs w:val="16"/>
                <w:lang w:val="en-US"/>
              </w:rPr>
            </w:pPr>
            <w:r w:rsidRPr="00CC2253">
              <w:rPr>
                <w:rFonts w:ascii="Palatino Linotype" w:hAnsi="Palatino Linotype"/>
                <w:b/>
                <w:color w:val="auto"/>
                <w:sz w:val="16"/>
                <w:szCs w:val="16"/>
                <w:lang w:val="en-US"/>
              </w:rPr>
              <w:t>Predicción</w:t>
            </w:r>
          </w:p>
        </w:tc>
        <w:tc>
          <w:tcPr>
            <w:tcW w:w="3683" w:type="dxa"/>
            <w:tcBorders>
              <w:top w:val="nil"/>
            </w:tcBorders>
            <w:vAlign w:val="center"/>
          </w:tcPr>
          <w:p w:rsidR="003E6F2B" w:rsidRPr="003E6F2B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</w:pPr>
          </w:p>
          <w:p w:rsidR="003E6F2B" w:rsidRPr="003E6F2B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</w:pPr>
            <w:r w:rsidRPr="003E6F2B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>El</w:t>
            </w:r>
            <w:r w:rsidRPr="003E6F2B">
              <w:rPr>
                <w:rFonts w:ascii="Palatino Linotype" w:hAnsi="Palatino Linotype"/>
                <w:i/>
                <w:color w:val="auto"/>
                <w:sz w:val="16"/>
                <w:szCs w:val="16"/>
                <w:lang w:val="es-AR"/>
              </w:rPr>
              <w:t xml:space="preserve"> error aleatorio</w:t>
            </w:r>
            <w:r w:rsidRPr="003E6F2B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 representa la variabilidad entre unidades experimentales y se obtiene en base a las diferencias entre cada observación y el parámetro poblacional (Fig. 1a). En la muestra, estas diferencias se denominan residuos.  </w:t>
            </w:r>
          </w:p>
          <w:p w:rsidR="003E6F2B" w:rsidRPr="003E6F2B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2"/>
                <w:szCs w:val="2"/>
                <w:lang w:val="es-AR"/>
              </w:rPr>
            </w:pPr>
          </w:p>
          <w:p w:rsidR="003E6F2B" w:rsidRPr="003E6F2B" w:rsidRDefault="003E6F2B" w:rsidP="006B760F">
            <w:pPr>
              <w:spacing w:before="57" w:after="57"/>
              <w:rPr>
                <w:rFonts w:ascii="Palatino Linotype" w:hAnsi="Palatino Linotype"/>
                <w:color w:val="FF0000"/>
                <w:sz w:val="16"/>
                <w:szCs w:val="16"/>
                <w:lang w:val="es-AR"/>
              </w:rPr>
            </w:pPr>
            <w:r w:rsidRPr="003E6F2B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El </w:t>
            </w:r>
            <w:r w:rsidRPr="003E6F2B">
              <w:rPr>
                <w:rFonts w:ascii="Palatino Linotype" w:hAnsi="Palatino Linotype"/>
                <w:i/>
                <w:color w:val="auto"/>
                <w:sz w:val="16"/>
                <w:szCs w:val="16"/>
                <w:lang w:val="es-AR"/>
              </w:rPr>
              <w:t>error estándar de estimación</w:t>
            </w:r>
            <w:r w:rsidRPr="003E6F2B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 refleja la variación que no es explicada por el modelo y elevado al cuadrado suele denominarse </w:t>
            </w:r>
            <w:r w:rsidRPr="003E6F2B">
              <w:rPr>
                <w:rFonts w:ascii="Palatino Linotype" w:hAnsi="Palatino Linotype"/>
                <w:i/>
                <w:color w:val="auto"/>
                <w:sz w:val="16"/>
                <w:szCs w:val="16"/>
                <w:lang w:val="es-AR"/>
              </w:rPr>
              <w:t>cuadrado medio del error</w:t>
            </w:r>
            <w:r w:rsidRPr="003E6F2B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. El error estándar de estimación es un estimador del error aleatorio (Fig. 1b).   </w:t>
            </w:r>
            <w:bookmarkStart w:id="0" w:name="_GoBack"/>
            <w:bookmarkEnd w:id="0"/>
          </w:p>
        </w:tc>
        <w:tc>
          <w:tcPr>
            <w:tcW w:w="3683" w:type="dxa"/>
            <w:tcBorders>
              <w:top w:val="nil"/>
            </w:tcBorders>
            <w:vAlign w:val="center"/>
          </w:tcPr>
          <w:p w:rsidR="003E6F2B" w:rsidRPr="00CC2253" w:rsidRDefault="003E6F2B" w:rsidP="006B760F">
            <w:pPr>
              <w:spacing w:before="57" w:after="57"/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</w:pPr>
            <w:r w:rsidRPr="00CC2253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 xml:space="preserve">Cuando un modelo presenta una tendencia a sub- o sobre- estimar un conjunto de valores con determinadas características se incurre en </w:t>
            </w:r>
            <w:r w:rsidRPr="00CC2253">
              <w:rPr>
                <w:rFonts w:ascii="Palatino Linotype" w:hAnsi="Palatino Linotype"/>
                <w:i/>
                <w:color w:val="auto"/>
                <w:sz w:val="16"/>
                <w:szCs w:val="16"/>
                <w:lang w:val="es-AR"/>
              </w:rPr>
              <w:t>sesgo de predicción</w:t>
            </w:r>
            <w:r w:rsidRPr="00CC2253">
              <w:rPr>
                <w:rFonts w:ascii="Palatino Linotype" w:hAnsi="Palatino Linotype"/>
                <w:color w:val="auto"/>
                <w:sz w:val="16"/>
                <w:szCs w:val="16"/>
                <w:lang w:val="es-AR"/>
              </w:rPr>
              <w:t>.</w:t>
            </w:r>
          </w:p>
        </w:tc>
      </w:tr>
    </w:tbl>
    <w:p w:rsidR="003E6F2B" w:rsidRPr="00CC2253" w:rsidRDefault="003E6F2B" w:rsidP="003E6F2B">
      <w:pPr>
        <w:widowControl/>
        <w:suppressAutoHyphens w:val="0"/>
        <w:autoSpaceDE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257F22" w:rsidRPr="00E53FEA" w:rsidRDefault="00257F22" w:rsidP="003E6F2B">
      <w:pPr>
        <w:spacing w:before="57" w:after="57"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3E6F2B">
        <w:rPr>
          <w:rFonts w:ascii="Palatino Linotype" w:hAnsi="Palatino Linotype"/>
          <w:color w:val="auto"/>
          <w:sz w:val="20"/>
          <w:szCs w:val="20"/>
          <w:lang w:val="es-AR"/>
        </w:rPr>
        <w:t xml:space="preserve"> </w:t>
      </w:r>
    </w:p>
    <w:p w:rsidR="000B3862" w:rsidRPr="00E53FEA" w:rsidRDefault="003E6F2B">
      <w:pPr>
        <w:rPr>
          <w:rFonts w:ascii="Palatino Linotype" w:hAnsi="Palatino Linotype"/>
        </w:rPr>
      </w:pPr>
    </w:p>
    <w:sectPr w:rsidR="000B3862" w:rsidRPr="00E53FEA" w:rsidSect="00257F22">
      <w:pgSz w:w="11906" w:h="16838"/>
      <w:pgMar w:top="1980" w:right="1417" w:bottom="1417" w:left="1417" w:header="720" w:footer="1417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LDCH+TimesNewRoman">
    <w:altName w:val="Times New Roman"/>
    <w:charset w:val="01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22"/>
    <w:rsid w:val="00257F22"/>
    <w:rsid w:val="00374B7C"/>
    <w:rsid w:val="003E6F2B"/>
    <w:rsid w:val="00DC3E62"/>
    <w:rsid w:val="00E53FEA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8A674-7849-40C0-9A29-7FFEE1A5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22"/>
    <w:pPr>
      <w:widowControl w:val="0"/>
      <w:suppressAutoHyphens/>
      <w:autoSpaceDE w:val="0"/>
      <w:spacing w:after="0" w:line="240" w:lineRule="auto"/>
    </w:pPr>
    <w:rPr>
      <w:rFonts w:ascii="LILDCH+TimesNewRoman" w:eastAsia="LILDCH+TimesNewRoman" w:hAnsi="LILDCH+TimesNewRoman" w:cs="LILDCH+TimesNewRoman"/>
      <w:color w:val="000000"/>
      <w:kern w:val="1"/>
      <w:sz w:val="24"/>
      <w:szCs w:val="24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25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59BB-67E0-45BE-A48F-B6C479E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oddi</dc:creator>
  <cp:keywords/>
  <dc:description/>
  <cp:lastModifiedBy>facundo oddi</cp:lastModifiedBy>
  <cp:revision>4</cp:revision>
  <dcterms:created xsi:type="dcterms:W3CDTF">2017-11-17T13:36:00Z</dcterms:created>
  <dcterms:modified xsi:type="dcterms:W3CDTF">2017-11-17T14:10:00Z</dcterms:modified>
</cp:coreProperties>
</file>